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2620" w:type="dxa"/>
        <w:tblInd w:w="93" w:type="dxa"/>
        <w:tblLayout w:type="autofit"/>
        <w:tblCellMar>
          <w:top w:w="0" w:type="dxa"/>
          <w:left w:w="108" w:type="dxa"/>
          <w:bottom w:w="0" w:type="dxa"/>
          <w:right w:w="108" w:type="dxa"/>
        </w:tblCellMar>
      </w:tblPr>
      <w:tblGrid>
        <w:gridCol w:w="660"/>
        <w:gridCol w:w="885"/>
        <w:gridCol w:w="2325"/>
        <w:gridCol w:w="1790"/>
        <w:gridCol w:w="1695"/>
        <w:gridCol w:w="1485"/>
        <w:gridCol w:w="960"/>
        <w:gridCol w:w="915"/>
        <w:gridCol w:w="690"/>
        <w:gridCol w:w="1215"/>
      </w:tblGrid>
      <w:tr>
        <w:trPr>
          <w:trHeight w:val="375" w:hRule="atLeast"/>
        </w:trPr>
        <w:tc>
          <w:tcPr>
            <w:tcW w:w="3870" w:type="dxa"/>
            <w:gridSpan w:val="3"/>
            <w:tcBorders>
              <w:top w:val="nil"/>
              <w:left w:val="nil"/>
              <w:bottom w:val="nil"/>
              <w:right w:val="nil"/>
            </w:tcBorders>
            <w:shd w:val="clear" w:color="auto" w:fill="auto"/>
            <w:noWrap/>
            <w:vAlign w:val="center"/>
          </w:tcPr>
          <w:p>
            <w:pPr>
              <w:widowControl/>
              <w:jc w:val="left"/>
              <w:textAlignment w:val="center"/>
              <w:rPr>
                <w:rFonts w:ascii="黑体" w:hAnsi="宋体" w:eastAsia="黑体" w:cs="黑体"/>
                <w:color w:val="000000"/>
                <w:sz w:val="28"/>
                <w:szCs w:val="28"/>
              </w:rPr>
            </w:pPr>
          </w:p>
        </w:tc>
        <w:tc>
          <w:tcPr>
            <w:tcW w:w="1790" w:type="dxa"/>
            <w:tcBorders>
              <w:top w:val="nil"/>
              <w:left w:val="nil"/>
              <w:bottom w:val="nil"/>
              <w:right w:val="nil"/>
            </w:tcBorders>
            <w:shd w:val="clear" w:color="auto" w:fill="auto"/>
            <w:noWrap/>
            <w:vAlign w:val="center"/>
          </w:tcPr>
          <w:p>
            <w:pPr>
              <w:jc w:val="left"/>
              <w:rPr>
                <w:rFonts w:ascii="宋体" w:hAnsi="宋体" w:eastAsia="宋体" w:cs="宋体"/>
                <w:color w:val="000000"/>
                <w:sz w:val="22"/>
                <w:szCs w:val="22"/>
              </w:rPr>
            </w:pPr>
          </w:p>
        </w:tc>
        <w:tc>
          <w:tcPr>
            <w:tcW w:w="1695" w:type="dxa"/>
            <w:tcBorders>
              <w:top w:val="nil"/>
              <w:left w:val="nil"/>
              <w:bottom w:val="nil"/>
              <w:right w:val="nil"/>
            </w:tcBorders>
            <w:shd w:val="clear" w:color="auto" w:fill="auto"/>
            <w:noWrap/>
            <w:vAlign w:val="center"/>
          </w:tcPr>
          <w:p>
            <w:pPr>
              <w:jc w:val="left"/>
              <w:rPr>
                <w:rFonts w:ascii="宋体" w:hAnsi="宋体" w:eastAsia="宋体" w:cs="宋体"/>
                <w:color w:val="000000"/>
                <w:sz w:val="22"/>
                <w:szCs w:val="22"/>
              </w:rPr>
            </w:pPr>
          </w:p>
        </w:tc>
        <w:tc>
          <w:tcPr>
            <w:tcW w:w="1485" w:type="dxa"/>
            <w:tcBorders>
              <w:top w:val="nil"/>
              <w:left w:val="nil"/>
              <w:bottom w:val="nil"/>
              <w:right w:val="nil"/>
            </w:tcBorders>
            <w:shd w:val="clear" w:color="auto" w:fill="auto"/>
            <w:noWrap/>
            <w:vAlign w:val="center"/>
          </w:tcPr>
          <w:p>
            <w:pPr>
              <w:jc w:val="left"/>
              <w:rPr>
                <w:rFonts w:ascii="宋体" w:hAnsi="宋体" w:eastAsia="宋体" w:cs="宋体"/>
                <w:color w:val="000000"/>
                <w:sz w:val="22"/>
                <w:szCs w:val="22"/>
              </w:rPr>
            </w:pPr>
          </w:p>
        </w:tc>
        <w:tc>
          <w:tcPr>
            <w:tcW w:w="960" w:type="dxa"/>
            <w:tcBorders>
              <w:top w:val="nil"/>
              <w:left w:val="nil"/>
              <w:bottom w:val="nil"/>
              <w:right w:val="nil"/>
            </w:tcBorders>
            <w:shd w:val="clear" w:color="auto" w:fill="auto"/>
            <w:noWrap/>
            <w:vAlign w:val="center"/>
          </w:tcPr>
          <w:p>
            <w:pPr>
              <w:jc w:val="left"/>
              <w:rPr>
                <w:rFonts w:ascii="宋体" w:hAnsi="宋体" w:eastAsia="宋体" w:cs="宋体"/>
                <w:color w:val="000000"/>
                <w:sz w:val="22"/>
                <w:szCs w:val="22"/>
              </w:rPr>
            </w:pPr>
          </w:p>
        </w:tc>
        <w:tc>
          <w:tcPr>
            <w:tcW w:w="915" w:type="dxa"/>
            <w:tcBorders>
              <w:top w:val="nil"/>
              <w:left w:val="nil"/>
              <w:bottom w:val="nil"/>
              <w:right w:val="nil"/>
            </w:tcBorders>
            <w:shd w:val="clear" w:color="auto" w:fill="auto"/>
            <w:noWrap/>
            <w:vAlign w:val="center"/>
          </w:tcPr>
          <w:p>
            <w:pPr>
              <w:jc w:val="left"/>
              <w:rPr>
                <w:rFonts w:ascii="宋体" w:hAnsi="宋体" w:eastAsia="宋体" w:cs="宋体"/>
                <w:color w:val="000000"/>
                <w:sz w:val="22"/>
                <w:szCs w:val="22"/>
              </w:rPr>
            </w:pPr>
          </w:p>
        </w:tc>
        <w:tc>
          <w:tcPr>
            <w:tcW w:w="690" w:type="dxa"/>
            <w:tcBorders>
              <w:top w:val="nil"/>
              <w:left w:val="nil"/>
              <w:bottom w:val="nil"/>
              <w:right w:val="nil"/>
            </w:tcBorders>
            <w:shd w:val="clear" w:color="auto" w:fill="auto"/>
            <w:noWrap/>
            <w:vAlign w:val="center"/>
          </w:tcPr>
          <w:p>
            <w:pPr>
              <w:rPr>
                <w:rFonts w:ascii="宋体" w:hAnsi="宋体" w:eastAsia="宋体" w:cs="宋体"/>
                <w:color w:val="000000"/>
                <w:sz w:val="22"/>
                <w:szCs w:val="22"/>
              </w:rPr>
            </w:pPr>
          </w:p>
        </w:tc>
        <w:tc>
          <w:tcPr>
            <w:tcW w:w="1215" w:type="dxa"/>
            <w:tcBorders>
              <w:top w:val="nil"/>
              <w:left w:val="nil"/>
              <w:bottom w:val="nil"/>
              <w:right w:val="nil"/>
            </w:tcBorders>
            <w:shd w:val="clear" w:color="auto" w:fill="auto"/>
            <w:noWrap/>
            <w:vAlign w:val="center"/>
          </w:tcPr>
          <w:p>
            <w:pPr>
              <w:rPr>
                <w:rFonts w:ascii="宋体" w:hAnsi="宋体" w:eastAsia="宋体" w:cs="宋体"/>
                <w:color w:val="000000"/>
                <w:sz w:val="22"/>
                <w:szCs w:val="22"/>
              </w:rPr>
            </w:pPr>
          </w:p>
        </w:tc>
      </w:tr>
      <w:tr>
        <w:trPr>
          <w:trHeight w:val="488" w:hRule="atLeast"/>
        </w:trPr>
        <w:tc>
          <w:tcPr>
            <w:tcW w:w="0" w:type="auto"/>
            <w:gridSpan w:val="10"/>
            <w:tcBorders>
              <w:top w:val="nil"/>
              <w:left w:val="nil"/>
              <w:bottom w:val="nil"/>
              <w:right w:val="nil"/>
            </w:tcBorders>
            <w:shd w:val="clear" w:color="auto" w:fill="auto"/>
            <w:noWrap/>
            <w:vAlign w:val="center"/>
          </w:tcPr>
          <w:p>
            <w:pPr>
              <w:widowControl/>
              <w:jc w:val="center"/>
              <w:textAlignment w:val="center"/>
              <w:rPr>
                <w:rFonts w:ascii="方正小标宋简体" w:hAnsi="方正小标宋简体" w:eastAsia="方正小标宋简体" w:cs="方正小标宋简体"/>
                <w:color w:val="000000"/>
                <w:sz w:val="36"/>
                <w:szCs w:val="36"/>
              </w:rPr>
            </w:pPr>
            <w:r>
              <w:rPr>
                <w:rFonts w:ascii="方正小标宋简体" w:hAnsi="方正小标宋简体" w:eastAsia="方正小标宋简体" w:cs="方正小标宋简体"/>
                <w:color w:val="000000"/>
                <w:kern w:val="0"/>
                <w:sz w:val="36"/>
                <w:szCs w:val="36"/>
                <w:lang w:bidi="ar"/>
              </w:rPr>
              <w:t>项目支出绩效自评表</w:t>
            </w:r>
          </w:p>
        </w:tc>
      </w:tr>
      <w:tr>
        <w:trPr>
          <w:trHeight w:val="480" w:hRule="atLeast"/>
        </w:trPr>
        <w:tc>
          <w:tcPr>
            <w:tcW w:w="0" w:type="auto"/>
            <w:gridSpan w:val="10"/>
            <w:tcBorders>
              <w:top w:val="nil"/>
              <w:left w:val="nil"/>
              <w:bottom w:val="nil"/>
              <w:right w:val="nil"/>
            </w:tcBorders>
            <w:shd w:val="clear" w:color="auto" w:fill="auto"/>
            <w:noWrap/>
            <w:vAlign w:val="center"/>
          </w:tcPr>
          <w:p>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（202</w:t>
            </w:r>
            <w:r>
              <w:rPr>
                <w:rFonts w:ascii="仿宋_GB2312" w:hAnsi="宋体" w:eastAsia="仿宋_GB2312" w:cs="仿宋_GB2312"/>
                <w:color w:val="000000"/>
                <w:kern w:val="0"/>
                <w:sz w:val="28"/>
                <w:szCs w:val="28"/>
                <w:lang w:bidi="ar"/>
              </w:rPr>
              <w:t>3</w:t>
            </w:r>
            <w:r>
              <w:rPr>
                <w:rFonts w:hint="eastAsia" w:ascii="仿宋_GB2312" w:hAnsi="宋体" w:eastAsia="仿宋_GB2312" w:cs="仿宋_GB2312"/>
                <w:color w:val="000000"/>
                <w:kern w:val="0"/>
                <w:sz w:val="28"/>
                <w:szCs w:val="28"/>
                <w:lang w:bidi="ar"/>
              </w:rPr>
              <w:t>年度）</w:t>
            </w:r>
          </w:p>
        </w:tc>
      </w:tr>
      <w:tr>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项目名称</w:t>
            </w:r>
          </w:p>
        </w:tc>
        <w:tc>
          <w:tcPr>
            <w:tcW w:w="110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教师队伍建设-北京学者</w:t>
            </w:r>
          </w:p>
        </w:tc>
      </w:tr>
      <w:tr>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主管部门</w:t>
            </w:r>
          </w:p>
        </w:tc>
        <w:tc>
          <w:tcPr>
            <w:tcW w:w="5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北京市教育委员会</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实施单位</w:t>
            </w:r>
          </w:p>
        </w:tc>
        <w:tc>
          <w:tcPr>
            <w:tcW w:w="37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北方工业大学</w:t>
            </w:r>
          </w:p>
        </w:tc>
      </w:tr>
      <w:tr>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项目负责人</w:t>
            </w:r>
          </w:p>
        </w:tc>
        <w:tc>
          <w:tcPr>
            <w:tcW w:w="5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王彦平</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联系电话</w:t>
            </w:r>
          </w:p>
        </w:tc>
        <w:tc>
          <w:tcPr>
            <w:tcW w:w="37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18910535351</w:t>
            </w:r>
          </w:p>
        </w:tc>
      </w:tr>
      <w:tr>
        <w:trPr>
          <w:trHeight w:val="270" w:hRule="atLeast"/>
        </w:trPr>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项目资金（万元）</w:t>
            </w:r>
          </w:p>
        </w:tc>
        <w:tc>
          <w:tcPr>
            <w:tcW w:w="232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年初预算数</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全年预算数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全年执行数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分值</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执行率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得分</w:t>
            </w:r>
          </w:p>
        </w:tc>
      </w:tr>
      <w:tr>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pPr>
              <w:widowControl/>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年度资金总额</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80.000000 </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79.936735 </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79.836735 </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99.87%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9.99</w:t>
            </w:r>
          </w:p>
        </w:tc>
      </w:tr>
      <w:tr>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其中：当年财政拨款</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80.000000 </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79.936735 </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79.836735 </w:t>
            </w:r>
          </w:p>
        </w:tc>
        <w:tc>
          <w:tcPr>
            <w:tcW w:w="960"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99.87%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上年结转资金</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其他资金</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trPr>
          <w:trHeight w:val="27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年度总体目标</w:t>
            </w:r>
          </w:p>
        </w:tc>
        <w:tc>
          <w:tcPr>
            <w:tcW w:w="6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预期目标</w:t>
            </w:r>
          </w:p>
        </w:tc>
        <w:tc>
          <w:tcPr>
            <w:tcW w:w="52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实际完成情况</w:t>
            </w:r>
          </w:p>
        </w:tc>
      </w:tr>
      <w:tr>
        <w:trPr>
          <w:trHeight w:val="382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6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面向城市重大基础设施安全监测需求，研究雷达成像安全监测技术并开展应用示范验证，发展雷达帧流成像监测新技术，重点突破角度关联多径抑制、帧间序列推演定位、扩展目标帧间动态表示等关键难题，建立封闭半封闭空间城市重大基础设施的动态安全监测的模型和方法，研制新型成像监测雷达，研究成果在北京东六环隧道、杭州隧道计量标定场等实际场景中进行验证研究与应用。</w:t>
            </w:r>
          </w:p>
        </w:tc>
        <w:tc>
          <w:tcPr>
            <w:tcW w:w="52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1.2023.01—2023.05完成了近景成像雷达多角度多径信号建模与分析研究；完成了基于多径信号抑制的高精度三维成像算法；构建了面向高刷新率帧流的帧间三维点云匹配模型；</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2.2023.06—2023.10完成了面向数据稀疏、检测失真的多维度信息聚类技术；完成了基于雷达成像数据自适应推演的高精度三维定位算法；完成了基于多角度多径抑制的高精度三维成像处理器方案设计；</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3.2023.11—2023.12完成了高精度三维定位处理器方案设计；完成了阵列三维成像与定位的算法仿真验证工作</w:t>
            </w:r>
          </w:p>
        </w:tc>
      </w:tr>
      <w:tr>
        <w:trPr>
          <w:trHeight w:val="51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绩效指标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一级指标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二级指标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三级指标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年度指标值</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实际完成值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分值</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得分</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偏差原因分析及改进措施</w:t>
            </w:r>
          </w:p>
        </w:tc>
      </w:tr>
      <w:tr>
        <w:trPr>
          <w:trHeight w:val="11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产出指标</w:t>
            </w: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数量指标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论文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≥3篇</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16篇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4</w:t>
            </w:r>
            <w:r>
              <w:rPr>
                <w:rFonts w:hint="eastAsia" w:ascii="仿宋_GB2312" w:hAnsi="宋体" w:eastAsia="仿宋_GB2312" w:cs="仿宋_GB2312"/>
                <w:color w:val="000000"/>
                <w:kern w:val="0"/>
                <w:szCs w:val="21"/>
                <w:lang w:val="en-US" w:eastAsia="zh-Hans" w:bidi="ar"/>
              </w:rPr>
              <w:t>.</w:t>
            </w:r>
            <w:r>
              <w:rPr>
                <w:rFonts w:hint="default" w:ascii="仿宋_GB2312" w:hAnsi="宋体" w:eastAsia="仿宋_GB2312" w:cs="仿宋_GB2312"/>
                <w:color w:val="000000"/>
                <w:kern w:val="0"/>
                <w:szCs w:val="21"/>
                <w:lang w:eastAsia="zh-Hans" w:bidi="ar"/>
              </w:rPr>
              <w:t>5</w:t>
            </w:r>
            <w:r>
              <w:rPr>
                <w:rFonts w:hint="eastAsia" w:ascii="仿宋_GB2312" w:hAnsi="宋体" w:eastAsia="仿宋_GB2312" w:cs="仿宋_GB2312"/>
                <w:color w:val="000000"/>
                <w:kern w:val="0"/>
                <w:szCs w:val="21"/>
                <w:lang w:bidi="ar"/>
              </w:rPr>
              <w:t xml:space="preserve">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偏差原因：目标制定过低，导致完成数量与目标差距过大；改进措施：提高制定目标的合理性</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专利</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在线监测软件</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雷达数据处理与分析软件</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质量指标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高质量专利</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103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高水平论文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＝2篇</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16篇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9</w:t>
            </w:r>
            <w:r>
              <w:rPr>
                <w:rFonts w:hint="eastAsia" w:ascii="仿宋_GB2312" w:hAnsi="宋体" w:eastAsia="仿宋_GB2312" w:cs="仿宋_GB2312"/>
                <w:color w:val="000000"/>
                <w:kern w:val="0"/>
                <w:szCs w:val="21"/>
                <w:lang w:bidi="ar"/>
              </w:rPr>
              <w:t>.</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偏差原因：目标制定过低，导致完成数量与目标差距过大；改进措施：提高制定目标的合理性</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时效指标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2023.01—2023.05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定性完成近景成像雷达多角度多径信号建模与分析研究； 完成基于多径信号抑制的高精度三维成像算法； 构建面向高刷新率帧流的帧间三维点云匹配模型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完成近景成像雷达多角度多径信号建模与分析研究；完成基于多径信号抑制的高精度三维成像算法；构建面向高刷新率帧流的帧间三维点云匹配模型</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2023.06—2023.10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定性完成面向数据稀疏、检测失真的多维度信息聚类技术； 完成基于雷达成像数据自适应推演的高精度三维定位算法； 完成基于多角度多径抑制的高精度三维成像处理器方案设计</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完成面向数据稀疏、检测失真的多维度信息聚类技术；完成基于雷达成像数据自适应推演的高精度三维定位算法；完成基于多角度多径抑制的高精度三维成像处理器方案设计；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2023.11—2023.12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定性完成高精度三维定位处理器方案设计； 完成阵列三维成像与定位的算法仿真验证工作</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完成高精度三维定位处理器方案设计；完成阵列三维成像与定位的算法仿真验证工作</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trPr>
          <w:trHeight w:val="156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效益指标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社会效益</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社会效益</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定性研究成果的进一步推广应用，将为重特大滑坡实时监测预警提供新型技术， 保障安全生产、公共安全，减少人员伤亡、保障人民生命财产安全，具有重大的社会和经济价值。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团队负责人王彦平研究员获得由北京市总工会、北京市人力社会保障局授予的首都劳动奖章。</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李洋高工获评北京公路学会科学技术奖一等奖；</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团队成员组成“雷达成像安全监测技术攻坚团队”获得北方工业大学青年五四奖章。</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毕福昆教授获评获评“北方工业大学青年教学名师”</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w:t>
            </w:r>
            <w:r>
              <w:rPr>
                <w:rFonts w:hint="default" w:ascii="仿宋_GB2312" w:hAnsi="宋体" w:eastAsia="仿宋_GB2312" w:cs="仿宋_GB2312"/>
                <w:color w:val="000000"/>
                <w:kern w:val="0"/>
                <w:szCs w:val="21"/>
                <w:lang w:bidi="ar"/>
              </w:rPr>
              <w:t>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8</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偏差原因：绩效目标不完整，实际完成情况侧重于团队建设和人才培养；措施：提高绩效目标的质量</w:t>
            </w:r>
          </w:p>
        </w:tc>
      </w:tr>
      <w:tr>
        <w:trPr>
          <w:trHeight w:val="181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可持续影响</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经济效益</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定性雷达成像技术应用于封闭半封闭空间动态安全监测存在诸多关键难题待研究和突破， 封闭半封闭城市重大基础设施的安全运营问题日益凸显，其动态安全监测的需求极为迫切</w:t>
            </w: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w:t>
            </w:r>
            <w:r>
              <w:rPr>
                <w:rFonts w:hint="default" w:ascii="仿宋_GB2312" w:hAnsi="宋体" w:eastAsia="仿宋_GB2312" w:cs="仿宋_GB2312"/>
                <w:color w:val="000000"/>
                <w:kern w:val="0"/>
                <w:szCs w:val="21"/>
                <w:lang w:bidi="ar"/>
              </w:rPr>
              <w:t>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8</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偏差原因：绩效目标不完整，实际完成情况侧重于团队建设和人才培养；措施：提高绩效目标的质量</w:t>
            </w:r>
          </w:p>
        </w:tc>
      </w:tr>
      <w:tr>
        <w:trPr>
          <w:trHeight w:val="115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Cs w:val="21"/>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满意度指标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服务对象满意度指标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服务对象满意度</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≥90人次</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10.00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偏差：绩效目标制定不合理，人次无法衡量满意度；措施：提高绩效目标的合理性</w:t>
            </w:r>
          </w:p>
        </w:tc>
      </w:tr>
      <w:tr>
        <w:trPr>
          <w:trHeight w:val="450" w:hRule="atLeast"/>
        </w:trPr>
        <w:tc>
          <w:tcPr>
            <w:tcW w:w="88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总分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100.00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9</w:t>
            </w:r>
            <w:r>
              <w:rPr>
                <w:rFonts w:hint="default" w:ascii="仿宋_GB2312" w:hAnsi="宋体" w:eastAsia="仿宋_GB2312" w:cs="仿宋_GB2312"/>
                <w:color w:val="000000"/>
                <w:kern w:val="0"/>
                <w:szCs w:val="21"/>
                <w:lang w:bidi="ar"/>
              </w:rPr>
              <w:t>1</w:t>
            </w:r>
            <w:r>
              <w:rPr>
                <w:rFonts w:hint="eastAsia" w:ascii="仿宋_GB2312" w:hAnsi="宋体" w:eastAsia="仿宋_GB2312" w:cs="仿宋_GB2312"/>
                <w:color w:val="000000"/>
                <w:kern w:val="0"/>
                <w:szCs w:val="21"/>
                <w:lang w:val="en-US" w:eastAsia="zh-Hans" w:bidi="ar"/>
              </w:rPr>
              <w:t>.</w:t>
            </w:r>
            <w:r>
              <w:rPr>
                <w:rFonts w:hint="default" w:ascii="仿宋_GB2312" w:hAnsi="宋体" w:eastAsia="仿宋_GB2312" w:cs="仿宋_GB2312"/>
                <w:color w:val="000000"/>
                <w:kern w:val="0"/>
                <w:szCs w:val="21"/>
                <w:lang w:eastAsia="zh-Hans" w:bidi="ar"/>
              </w:rPr>
              <w:t>99</w:t>
            </w:r>
            <w:bookmarkStart w:id="0" w:name="_GoBack"/>
            <w:bookmarkEnd w:id="0"/>
            <w:r>
              <w:rPr>
                <w:rFonts w:hint="eastAsia" w:ascii="仿宋_GB2312" w:hAnsi="宋体" w:eastAsia="仿宋_GB2312" w:cs="仿宋_GB2312"/>
                <w:color w:val="000000"/>
                <w:kern w:val="0"/>
                <w:szCs w:val="21"/>
                <w:lang w:bidi="ar"/>
              </w:rPr>
              <w:t xml:space="preserve">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color w:val="000000"/>
                <w:szCs w:val="21"/>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方正小标宋简体">
    <w:altName w:val="汉仪书宋二KW"/>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xZmY0MGNmOWM5OTQ2MzdlMzg4M2ZhNTg3YWUyZGYifQ=="/>
  </w:docVars>
  <w:rsids>
    <w:rsidRoot w:val="00BE6578"/>
    <w:rsid w:val="00492A97"/>
    <w:rsid w:val="00631569"/>
    <w:rsid w:val="006A6CCE"/>
    <w:rsid w:val="00B32AA2"/>
    <w:rsid w:val="00B7202C"/>
    <w:rsid w:val="00BE6578"/>
    <w:rsid w:val="00C61F63"/>
    <w:rsid w:val="2CD80074"/>
    <w:rsid w:val="6D6F79FB"/>
    <w:rsid w:val="6E6B7EF9"/>
    <w:rsid w:val="7FDDA133"/>
    <w:rsid w:val="9EFF88D2"/>
    <w:rsid w:val="DD9BD41D"/>
    <w:rsid w:val="FF9B78E4"/>
    <w:rsid w:val="FFDD9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327</Words>
  <Characters>1869</Characters>
  <Lines>15</Lines>
  <Paragraphs>4</Paragraphs>
  <TotalTime>2</TotalTime>
  <ScaleCrop>false</ScaleCrop>
  <LinksUpToDate>false</LinksUpToDate>
  <CharactersWithSpaces>2192</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chenl</dc:creator>
  <cp:lastModifiedBy>王小艳</cp:lastModifiedBy>
  <dcterms:modified xsi:type="dcterms:W3CDTF">2024-05-28T20:38:17Z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9A8F303E5DB6412495D42617171065C6_12</vt:lpwstr>
  </property>
</Properties>
</file>